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5B" w:rsidRPr="00E9065B" w:rsidRDefault="00E9065B" w:rsidP="00E9065B">
      <w:pPr>
        <w:pStyle w:val="Citazioneintensa"/>
        <w:rPr>
          <w:i w:val="0"/>
          <w:sz w:val="28"/>
          <w:szCs w:val="28"/>
          <w14:textOutline w14:w="9525" w14:cap="rnd" w14:cmpd="sng" w14:algn="ctr">
            <w14:solidFill>
              <w14:srgbClr w14:val="0066FF"/>
            </w14:solidFill>
            <w14:prstDash w14:val="solid"/>
            <w14:bevel/>
          </w14:textOutline>
        </w:rPr>
      </w:pPr>
      <w:r w:rsidRPr="00E9065B">
        <w:rPr>
          <w:i w:val="0"/>
          <w:sz w:val="28"/>
          <w:szCs w:val="28"/>
          <w14:textOutline w14:w="9525" w14:cap="rnd" w14:cmpd="sng" w14:algn="ctr">
            <w14:solidFill>
              <w14:srgbClr w14:val="0066FF"/>
            </w14:solidFill>
            <w14:prstDash w14:val="solid"/>
            <w14:bevel/>
          </w14:textOutline>
        </w:rPr>
        <w:t>ANALISI DELLA POPOLAZIONE SCOLASTICA RESIDENTE</w:t>
      </w:r>
    </w:p>
    <w:p w:rsidR="00E9065B" w:rsidRPr="00E9065B" w:rsidRDefault="00E9065B" w:rsidP="00E9065B">
      <w:pPr>
        <w:pStyle w:val="Citazioneintensa"/>
        <w:rPr>
          <w:i w:val="0"/>
          <w:sz w:val="28"/>
          <w:szCs w:val="28"/>
          <w14:textOutline w14:w="9525" w14:cap="rnd" w14:cmpd="sng" w14:algn="ctr">
            <w14:solidFill>
              <w14:srgbClr w14:val="0066FF"/>
            </w14:solidFill>
            <w14:prstDash w14:val="solid"/>
            <w14:bevel/>
          </w14:textOutline>
        </w:rPr>
      </w:pPr>
      <w:r w:rsidRPr="00E9065B">
        <w:rPr>
          <w:i w:val="0"/>
          <w:sz w:val="28"/>
          <w:szCs w:val="28"/>
          <w14:textOutline w14:w="9525" w14:cap="rnd" w14:cmpd="sng" w14:algn="ctr">
            <w14:solidFill>
              <w14:srgbClr w14:val="0066FF"/>
            </w14:solidFill>
            <w14:prstDash w14:val="solid"/>
            <w14:bevel/>
          </w14:textOutline>
        </w:rPr>
        <w:t>NATI DAL 2012 AL 2020</w:t>
      </w: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CE5A5B" w:rsidRDefault="00302FC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 è proceduto alla divisione del numero di nascite di bambini di età compresa tra i 0 e i 9 anni, quindi si sono analizzati i dati </w:t>
      </w:r>
      <w:r>
        <w:rPr>
          <w:rFonts w:ascii="Calibri" w:hAnsi="Calibri"/>
          <w:color w:val="000000"/>
        </w:rPr>
        <w:t xml:space="preserve">a disposizione sino al 2020, in modo da avere un quadro della popolazione scolastica (nido, materna ed </w:t>
      </w:r>
      <w:r>
        <w:rPr>
          <w:rFonts w:ascii="Calibri" w:hAnsi="Calibri"/>
          <w:color w:val="000000"/>
        </w:rPr>
        <w:t>elementari) qualora possa servire all’Amministrazione per eventuali valutazioni di vario genere in ambito all’edilizia scolastica o allo stanziamento di contributi a favore delle scuole.</w:t>
      </w:r>
    </w:p>
    <w:p w:rsidR="00CE5A5B" w:rsidRDefault="00302FCB">
      <w:pPr>
        <w:jc w:val="both"/>
        <w:rPr>
          <w:rFonts w:hint="eastAsia"/>
        </w:rPr>
      </w:pPr>
      <w:r>
        <w:rPr>
          <w:rFonts w:ascii="Calibri" w:hAnsi="Calibri"/>
          <w:noProof/>
          <w:color w:val="000000"/>
          <w:lang w:eastAsia="it-IT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69215</wp:posOffset>
            </wp:positionV>
            <wp:extent cx="5760085" cy="3668395"/>
            <wp:effectExtent l="0" t="0" r="0" b="0"/>
            <wp:wrapSquare wrapText="largest"/>
            <wp:docPr id="1" name="Oggetto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E5A5B" w:rsidRDefault="00302FC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Nel seguente grafico è stato suddiviso il totale della popolazione </w:t>
      </w:r>
      <w:r>
        <w:rPr>
          <w:rFonts w:ascii="Calibri" w:hAnsi="Calibri"/>
          <w:color w:val="000000"/>
        </w:rPr>
        <w:t>per l’anno di nascita (asse x</w:t>
      </w:r>
      <w:r>
        <w:rPr>
          <w:rFonts w:ascii="Calibri" w:hAnsi="Calibri"/>
          <w:color w:val="000000"/>
        </w:rPr>
        <w:t>), ed è stato identificato il numero di presenze (</w:t>
      </w:r>
      <w:r>
        <w:rPr>
          <w:rFonts w:ascii="Calibri" w:hAnsi="Calibri"/>
          <w:color w:val="000000"/>
        </w:rPr>
        <w:t>asse y</w:t>
      </w:r>
      <w:r>
        <w:rPr>
          <w:rFonts w:ascii="Calibri" w:hAnsi="Calibri"/>
          <w:color w:val="000000"/>
        </w:rPr>
        <w:t>).</w:t>
      </w:r>
    </w:p>
    <w:p w:rsidR="00CE5A5B" w:rsidRDefault="00302FC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Come si può notare l’anno di nascita in cui vi è stato il picco maggiore è stato il 2012, contando 22 soggetti</w:t>
      </w:r>
      <w:r>
        <w:rPr>
          <w:rFonts w:ascii="Calibri" w:hAnsi="Calibri"/>
          <w:color w:val="000000"/>
        </w:rPr>
        <w:t>, mentre l’anno con il minor numero di nascite è stato</w:t>
      </w:r>
      <w:r>
        <w:rPr>
          <w:rFonts w:ascii="Calibri" w:hAnsi="Calibri"/>
          <w:color w:val="000000"/>
        </w:rPr>
        <w:t xml:space="preserve"> il 2020, contando 10 soggetti. Quindi tra il 2012 (primo anno della rilevazione</w:t>
      </w:r>
      <w:r>
        <w:rPr>
          <w:rFonts w:ascii="Calibri" w:hAnsi="Calibri"/>
          <w:color w:val="000000"/>
        </w:rPr>
        <w:t>) e il 2020 (</w:t>
      </w:r>
      <w:r>
        <w:rPr>
          <w:rFonts w:ascii="Calibri" w:hAnsi="Calibri"/>
          <w:color w:val="000000"/>
        </w:rPr>
        <w:t>ultimo anno della rilevazione</w:t>
      </w:r>
      <w:r>
        <w:rPr>
          <w:rFonts w:ascii="Calibri" w:hAnsi="Calibri"/>
          <w:color w:val="000000"/>
        </w:rPr>
        <w:t>) il numero di bambini presenti sul territorio è diminuito di più della metà.</w:t>
      </w:r>
    </w:p>
    <w:p w:rsidR="00CE5A5B" w:rsidRDefault="00302FC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numero di bambini presenti è, comunque, continuato</w:t>
      </w:r>
      <w:r>
        <w:rPr>
          <w:rFonts w:ascii="Calibri" w:hAnsi="Calibri"/>
          <w:color w:val="000000"/>
        </w:rPr>
        <w:t xml:space="preserve"> a diminuire dal 2016 al 2020, e sembra mantenere questo trend di decrescita.</w:t>
      </w: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E9065B" w:rsidRDefault="00E906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302FCB">
      <w:pPr>
        <w:jc w:val="both"/>
        <w:rPr>
          <w:rFonts w:hint="eastAsia"/>
        </w:rPr>
      </w:pPr>
      <w:r>
        <w:rPr>
          <w:rFonts w:ascii="Calibri" w:hAnsi="Calibri"/>
          <w:noProof/>
          <w:color w:val="000000"/>
          <w:lang w:eastAsia="it-IT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740410</wp:posOffset>
            </wp:positionH>
            <wp:positionV relativeFrom="paragraph">
              <wp:posOffset>156210</wp:posOffset>
            </wp:positionV>
            <wp:extent cx="4958080" cy="3086735"/>
            <wp:effectExtent l="0" t="0" r="0" b="0"/>
            <wp:wrapSquare wrapText="largest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46" r="1629" b="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CE5A5B" w:rsidRDefault="00CE5A5B">
      <w:pPr>
        <w:jc w:val="both"/>
        <w:rPr>
          <w:rFonts w:hint="eastAsia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CE5A5B" w:rsidRDefault="00302FC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una miglior panoramica della presenza di bambini sul territorio, si sono calcolate le percentuali che indican</w:t>
      </w:r>
      <w:r>
        <w:rPr>
          <w:rFonts w:ascii="Calibri" w:hAnsi="Calibri"/>
          <w:color w:val="000000"/>
        </w:rPr>
        <w:t xml:space="preserve">o la presenza del gruppo di </w:t>
      </w:r>
      <w:r>
        <w:rPr>
          <w:rFonts w:ascii="Calibri" w:hAnsi="Calibri"/>
          <w:color w:val="000000"/>
        </w:rPr>
        <w:t xml:space="preserve">soggetti per quella determinata fascia d’età, e come si può notare il territorio è caratterizzato, nella maggior parte, dalla presenza di bambini di età compresa tra i 6 ed i 9 anni </w:t>
      </w:r>
      <w:proofErr w:type="gramStart"/>
      <w:r>
        <w:rPr>
          <w:rFonts w:ascii="Calibri" w:hAnsi="Calibri"/>
          <w:color w:val="000000"/>
        </w:rPr>
        <w:t>( età</w:t>
      </w:r>
      <w:proofErr w:type="gramEnd"/>
      <w:r>
        <w:rPr>
          <w:rFonts w:ascii="Calibri" w:hAnsi="Calibri"/>
          <w:color w:val="000000"/>
        </w:rPr>
        <w:t xml:space="preserve"> da elementari ).</w:t>
      </w: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CE5A5B" w:rsidRDefault="00302FCB">
      <w:pPr>
        <w:jc w:val="both"/>
        <w:rPr>
          <w:rFonts w:hint="eastAsia"/>
        </w:rPr>
      </w:pPr>
      <w:r>
        <w:rPr>
          <w:rFonts w:ascii="Calibri" w:hAnsi="Calibri"/>
          <w:noProof/>
          <w:color w:val="000000"/>
          <w:lang w:eastAsia="it-IT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486410</wp:posOffset>
            </wp:positionH>
            <wp:positionV relativeFrom="paragraph">
              <wp:posOffset>146685</wp:posOffset>
            </wp:positionV>
            <wp:extent cx="5073650" cy="2806700"/>
            <wp:effectExtent l="0" t="0" r="0" b="0"/>
            <wp:wrapSquare wrapText="largest"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436" b="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A5B" w:rsidRDefault="00CE5A5B">
      <w:pPr>
        <w:jc w:val="both"/>
        <w:rPr>
          <w:rFonts w:hint="eastAsia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806DA7" w:rsidRDefault="00806DA7">
      <w:pPr>
        <w:jc w:val="both"/>
        <w:rPr>
          <w:rFonts w:ascii="Calibri" w:hAnsi="Calibri"/>
          <w:color w:val="000000"/>
        </w:rPr>
      </w:pPr>
    </w:p>
    <w:p w:rsidR="00CE5A5B" w:rsidRDefault="00302FC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 fine di valutare eventuali investimenti è sta</w:t>
      </w:r>
      <w:r>
        <w:rPr>
          <w:rFonts w:ascii="Calibri" w:hAnsi="Calibri"/>
          <w:color w:val="000000"/>
        </w:rPr>
        <w:t>ta calcolata l’occupazione degli istituti scolastici di ogni ordine</w:t>
      </w:r>
      <w:r>
        <w:rPr>
          <w:rFonts w:ascii="Calibri" w:hAnsi="Calibri"/>
          <w:color w:val="000000"/>
        </w:rPr>
        <w:t>.</w:t>
      </w:r>
    </w:p>
    <w:p w:rsidR="00CE5A5B" w:rsidRDefault="00302FC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Come si può notare l’occupazione riguarda oltre il 50 % l’istituto elementare, il 28,72 % l’istituto della scuola materna e il 16,49% l’asil</w:t>
      </w:r>
      <w:r>
        <w:rPr>
          <w:rFonts w:ascii="Calibri" w:hAnsi="Calibri"/>
          <w:color w:val="000000"/>
        </w:rPr>
        <w:t>o nido.</w:t>
      </w:r>
    </w:p>
    <w:p w:rsidR="00CE5A5B" w:rsidRDefault="00CE5A5B">
      <w:pPr>
        <w:jc w:val="both"/>
      </w:pPr>
    </w:p>
    <w:p w:rsidR="00E9065B" w:rsidRDefault="00E9065B">
      <w:pPr>
        <w:jc w:val="both"/>
      </w:pPr>
    </w:p>
    <w:p w:rsidR="00E9065B" w:rsidRDefault="00E9065B">
      <w:pPr>
        <w:jc w:val="both"/>
        <w:rPr>
          <w:rFonts w:hint="eastAsia"/>
        </w:rPr>
      </w:pPr>
      <w:bookmarkStart w:id="0" w:name="_GoBack"/>
      <w:bookmarkEnd w:id="0"/>
    </w:p>
    <w:p w:rsidR="00CE5A5B" w:rsidRDefault="00302FCB">
      <w:pPr>
        <w:jc w:val="both"/>
        <w:rPr>
          <w:rFonts w:hint="eastAsia"/>
        </w:rPr>
      </w:pPr>
      <w:r>
        <w:rPr>
          <w:rFonts w:ascii="Calibri" w:hAnsi="Calibri"/>
          <w:noProof/>
          <w:color w:val="000000"/>
          <w:lang w:eastAsia="it-IT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635</wp:posOffset>
            </wp:positionV>
            <wp:extent cx="5382895" cy="3143250"/>
            <wp:effectExtent l="0" t="0" r="0" b="0"/>
            <wp:wrapSquare wrapText="largest"/>
            <wp:docPr id="4" name="Oggetto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E5A5B" w:rsidRDefault="00CE5A5B">
      <w:pPr>
        <w:jc w:val="both"/>
        <w:rPr>
          <w:rFonts w:hint="eastAsia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E9065B" w:rsidRDefault="00E9065B">
      <w:pPr>
        <w:jc w:val="both"/>
        <w:rPr>
          <w:rFonts w:ascii="Calibri" w:hAnsi="Calibri"/>
          <w:color w:val="000000"/>
        </w:rPr>
      </w:pPr>
    </w:p>
    <w:p w:rsidR="00CE5A5B" w:rsidRDefault="00302FCB">
      <w:pPr>
        <w:jc w:val="both"/>
        <w:rPr>
          <w:rFonts w:hint="eastAsia"/>
        </w:rPr>
      </w:pPr>
      <w:r>
        <w:rPr>
          <w:rFonts w:ascii="Calibri" w:hAnsi="Calibri"/>
          <w:color w:val="000000"/>
        </w:rPr>
        <w:t xml:space="preserve">Infine, come per la presenza del numero di bambini nel territorio, è stata calcolata la presenza di soggetti all’interno dei vari istituti, contando 76 presenza nella scuola elementare, 40 nella scuola materna, ed infine 23 per il nido, per un </w:t>
      </w:r>
      <w:r>
        <w:rPr>
          <w:rFonts w:ascii="Calibri" w:hAnsi="Calibri"/>
          <w:color w:val="000000"/>
        </w:rPr>
        <w:t xml:space="preserve">totale di 139 bambini. </w:t>
      </w:r>
    </w:p>
    <w:sectPr w:rsidR="00CE5A5B"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CB" w:rsidRDefault="00302FCB" w:rsidP="00A67DC7">
      <w:pPr>
        <w:rPr>
          <w:rFonts w:hint="eastAsia"/>
        </w:rPr>
      </w:pPr>
      <w:r>
        <w:separator/>
      </w:r>
    </w:p>
  </w:endnote>
  <w:endnote w:type="continuationSeparator" w:id="0">
    <w:p w:rsidR="00302FCB" w:rsidRDefault="00302FCB" w:rsidP="00A67D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C7" w:rsidRPr="00A67DC7" w:rsidRDefault="00A67DC7" w:rsidP="00A67DC7">
    <w:pPr>
      <w:pStyle w:val="Pidipagina"/>
      <w:jc w:val="right"/>
      <w:rPr>
        <w:color w:val="5B9BD5" w:themeColor="accent1"/>
        <w:sz w:val="16"/>
        <w:szCs w:val="16"/>
      </w:rPr>
    </w:pPr>
    <w:r w:rsidRPr="00A67DC7">
      <w:rPr>
        <w:color w:val="5B9BD5" w:themeColor="accent1"/>
        <w:sz w:val="16"/>
        <w:szCs w:val="16"/>
      </w:rPr>
      <w:t xml:space="preserve">Pag. </w:t>
    </w:r>
    <w:r w:rsidRPr="00A67DC7">
      <w:rPr>
        <w:color w:val="5B9BD5" w:themeColor="accent1"/>
        <w:sz w:val="16"/>
        <w:szCs w:val="16"/>
      </w:rPr>
      <w:fldChar w:fldCharType="begin"/>
    </w:r>
    <w:r w:rsidRPr="00A67DC7">
      <w:rPr>
        <w:color w:val="5B9BD5" w:themeColor="accent1"/>
        <w:sz w:val="16"/>
        <w:szCs w:val="16"/>
      </w:rPr>
      <w:instrText>PAGE  \* Arabic  \* MERGEFORMAT</w:instrText>
    </w:r>
    <w:r w:rsidRPr="00A67DC7">
      <w:rPr>
        <w:color w:val="5B9BD5" w:themeColor="accent1"/>
        <w:sz w:val="16"/>
        <w:szCs w:val="16"/>
      </w:rPr>
      <w:fldChar w:fldCharType="separate"/>
    </w:r>
    <w:r>
      <w:rPr>
        <w:rFonts w:hint="eastAsia"/>
        <w:noProof/>
        <w:color w:val="5B9BD5" w:themeColor="accent1"/>
        <w:sz w:val="16"/>
        <w:szCs w:val="16"/>
      </w:rPr>
      <w:t>3</w:t>
    </w:r>
    <w:r w:rsidRPr="00A67DC7">
      <w:rPr>
        <w:color w:val="5B9BD5" w:themeColor="accent1"/>
        <w:sz w:val="16"/>
        <w:szCs w:val="16"/>
      </w:rPr>
      <w:fldChar w:fldCharType="end"/>
    </w:r>
    <w:r w:rsidRPr="00A67DC7">
      <w:rPr>
        <w:color w:val="5B9BD5" w:themeColor="accent1"/>
        <w:sz w:val="16"/>
        <w:szCs w:val="16"/>
      </w:rPr>
      <w:t xml:space="preserve"> di </w:t>
    </w:r>
    <w:r w:rsidRPr="00A67DC7">
      <w:rPr>
        <w:color w:val="5B9BD5" w:themeColor="accent1"/>
        <w:sz w:val="16"/>
        <w:szCs w:val="16"/>
      </w:rPr>
      <w:fldChar w:fldCharType="begin"/>
    </w:r>
    <w:r w:rsidRPr="00A67DC7">
      <w:rPr>
        <w:color w:val="5B9BD5" w:themeColor="accent1"/>
        <w:sz w:val="16"/>
        <w:szCs w:val="16"/>
      </w:rPr>
      <w:instrText>NUMPAGES  \* Arabic  \* MERGEFORMAT</w:instrText>
    </w:r>
    <w:r w:rsidRPr="00A67DC7">
      <w:rPr>
        <w:color w:val="5B9BD5" w:themeColor="accent1"/>
        <w:sz w:val="16"/>
        <w:szCs w:val="16"/>
      </w:rPr>
      <w:fldChar w:fldCharType="separate"/>
    </w:r>
    <w:r>
      <w:rPr>
        <w:rFonts w:hint="eastAsia"/>
        <w:noProof/>
        <w:color w:val="5B9BD5" w:themeColor="accent1"/>
        <w:sz w:val="16"/>
        <w:szCs w:val="16"/>
      </w:rPr>
      <w:t>3</w:t>
    </w:r>
    <w:r w:rsidRPr="00A67DC7">
      <w:rPr>
        <w:color w:val="5B9BD5" w:themeColor="accent1"/>
        <w:sz w:val="16"/>
        <w:szCs w:val="16"/>
      </w:rPr>
      <w:fldChar w:fldCharType="end"/>
    </w:r>
  </w:p>
  <w:p w:rsidR="00A67DC7" w:rsidRDefault="00A67DC7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CB" w:rsidRDefault="00302FCB" w:rsidP="00A67DC7">
      <w:pPr>
        <w:rPr>
          <w:rFonts w:hint="eastAsia"/>
        </w:rPr>
      </w:pPr>
      <w:r>
        <w:separator/>
      </w:r>
    </w:p>
  </w:footnote>
  <w:footnote w:type="continuationSeparator" w:id="0">
    <w:p w:rsidR="00302FCB" w:rsidRDefault="00302FCB" w:rsidP="00A67D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5B"/>
    <w:rsid w:val="00302FCB"/>
    <w:rsid w:val="00806DA7"/>
    <w:rsid w:val="00A67DC7"/>
    <w:rsid w:val="00CE5A5B"/>
    <w:rsid w:val="00E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420BF-4B74-4BFD-8DCF-C0CEFDF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06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065B"/>
    <w:rPr>
      <w:rFonts w:cs="Mangal"/>
      <w:i/>
      <w:iCs/>
      <w:color w:val="5B9BD5" w:themeColor="accent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67DC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DC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67DC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DC7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DC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DC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0"/>
  <c:style val="2"/>
  <c:chart>
    <c:title>
      <c:tx>
        <c:rich>
          <a:bodyPr rot="0"/>
          <a:lstStyle/>
          <a:p>
            <a:pPr>
              <a:defRPr sz="1300" b="0" strike="noStrike" spc="-1">
                <a:latin typeface="Arial"/>
              </a:defRPr>
            </a:pPr>
            <a:r>
              <a:rPr lang="it-IT" sz="1300" b="0" strike="noStrike" spc="-1">
                <a:latin typeface="Arial"/>
              </a:rPr>
              <a:t>presenze bambini 
divisione per anno di nascita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11"/>
      <c:rotY val="25"/>
      <c:rAngAx val="1"/>
    </c:view3D>
    <c:floor>
      <c:thickness val="0"/>
      <c:spPr>
        <a:solidFill>
          <a:srgbClr val="CCCCCC"/>
        </a:solidFill>
        <a:ln w="0">
          <a:noFill/>
        </a:ln>
      </c:spPr>
    </c:floor>
    <c:sideWall>
      <c:thickness val="0"/>
      <c:spPr>
        <a:noFill/>
        <a:ln w="0">
          <a:solidFill>
            <a:srgbClr val="B3B3B3"/>
          </a:solidFill>
        </a:ln>
      </c:spPr>
    </c:sideWall>
    <c:backWall>
      <c:thickness val="0"/>
      <c:spPr>
        <a:noFill/>
        <a:ln w="0">
          <a:solidFill>
            <a:srgbClr val="B3B3B3"/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numero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22</c:v>
                </c:pt>
                <c:pt idx="1">
                  <c:v>15</c:v>
                </c:pt>
                <c:pt idx="2">
                  <c:v>20</c:v>
                </c:pt>
                <c:pt idx="3">
                  <c:v>19</c:v>
                </c:pt>
                <c:pt idx="4">
                  <c:v>11</c:v>
                </c:pt>
                <c:pt idx="5">
                  <c:v>14</c:v>
                </c:pt>
                <c:pt idx="6">
                  <c:v>15</c:v>
                </c:pt>
                <c:pt idx="7">
                  <c:v>13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442942432"/>
        <c:axId val="220884728"/>
        <c:axId val="0"/>
      </c:bar3DChart>
      <c:catAx>
        <c:axId val="442942432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it-IT" sz="900" b="0" strike="noStrike" spc="-1">
                    <a:latin typeface="Arial"/>
                  </a:rPr>
                  <a:t>anno di nascita </a:t>
                </a:r>
              </a:p>
            </c:rich>
          </c:tx>
          <c:overlay val="0"/>
          <c:spPr>
            <a:noFill/>
            <a:ln w="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it-IT"/>
          </a:p>
        </c:txPr>
        <c:crossAx val="220884728"/>
        <c:crosses val="autoZero"/>
        <c:auto val="1"/>
        <c:lblAlgn val="ctr"/>
        <c:lblOffset val="100"/>
        <c:noMultiLvlLbl val="0"/>
      </c:catAx>
      <c:valAx>
        <c:axId val="220884728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title>
          <c:tx>
            <c:rich>
              <a:bodyPr rot="-540000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it-IT" sz="900" b="0" strike="noStrike" spc="-1">
                    <a:latin typeface="Arial"/>
                  </a:rPr>
                  <a:t>presenze </a:t>
                </a:r>
              </a:p>
            </c:rich>
          </c:tx>
          <c:overlay val="0"/>
          <c:spPr>
            <a:noFill/>
            <a:ln w="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it-IT"/>
          </a:p>
        </c:txPr>
        <c:crossAx val="442942432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latin typeface="Arial"/>
            </a:defRPr>
          </a:pPr>
          <a:endParaRPr lang="it-IT"/>
        </a:p>
      </c:txPr>
    </c:legend>
    <c:plotVisOnly val="1"/>
    <c:dispBlanksAs val="gap"/>
    <c:showDLblsOverMax val="1"/>
  </c:chart>
  <c:spPr>
    <a:solidFill>
      <a:srgbClr val="FFFFFF"/>
    </a:solidFill>
    <a:ln w="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0"/>
  <c:style val="2"/>
  <c:chart>
    <c:title>
      <c:tx>
        <c:rich>
          <a:bodyPr rot="0"/>
          <a:lstStyle/>
          <a:p>
            <a:pPr>
              <a:defRPr sz="1300" b="0" strike="noStrike" spc="-1">
                <a:latin typeface="Arial"/>
              </a:defRPr>
            </a:pPr>
            <a:r>
              <a:rPr lang="it-IT" sz="1300" b="0" strike="noStrike" spc="-1">
                <a:latin typeface="Arial"/>
              </a:rPr>
              <a:t>presenza bambini negli istituti scolastici </a:t>
            </a:r>
          </a:p>
        </c:rich>
      </c:tx>
      <c:overlay val="0"/>
      <c:spPr>
        <a:noFill/>
        <a:ln w="0">
          <a:noFill/>
        </a:ln>
      </c:spPr>
    </c:title>
    <c:autoTitleDeleted val="0"/>
    <c:view3D>
      <c:rotX val="11"/>
      <c:rotY val="25"/>
      <c:rAngAx val="1"/>
    </c:view3D>
    <c:floor>
      <c:thickness val="0"/>
      <c:spPr>
        <a:solidFill>
          <a:srgbClr val="CCCCCC"/>
        </a:solidFill>
        <a:ln w="0">
          <a:noFill/>
        </a:ln>
      </c:spPr>
    </c:floor>
    <c:sideWall>
      <c:thickness val="0"/>
      <c:spPr>
        <a:noFill/>
        <a:ln w="0">
          <a:solidFill>
            <a:srgbClr val="B3B3B3"/>
          </a:solidFill>
        </a:ln>
      </c:spPr>
    </c:sideWall>
    <c:backWall>
      <c:thickness val="0"/>
      <c:spPr>
        <a:noFill/>
        <a:ln w="0">
          <a:solidFill>
            <a:srgbClr val="B3B3B3"/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Numero 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"/>
                <c:pt idx="0">
                  <c:v>elementare </c:v>
                </c:pt>
                <c:pt idx="1">
                  <c:v>materna</c:v>
                </c:pt>
                <c:pt idx="2">
                  <c:v>nido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76</c:v>
                </c:pt>
                <c:pt idx="1">
                  <c:v>40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20885512"/>
        <c:axId val="220885904"/>
        <c:axId val="0"/>
      </c:bar3DChart>
      <c:catAx>
        <c:axId val="220885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it-IT"/>
          </a:p>
        </c:txPr>
        <c:crossAx val="220885904"/>
        <c:crosses val="autoZero"/>
        <c:auto val="1"/>
        <c:lblAlgn val="ctr"/>
        <c:lblOffset val="100"/>
        <c:noMultiLvlLbl val="0"/>
      </c:catAx>
      <c:valAx>
        <c:axId val="220885904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it-IT"/>
          </a:p>
        </c:txPr>
        <c:crossAx val="220885512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latin typeface="Arial"/>
            </a:defRPr>
          </a:pPr>
          <a:endParaRPr lang="it-IT"/>
        </a:p>
      </c:txPr>
    </c:legend>
    <c:plotVisOnly val="1"/>
    <c:dispBlanksAs val="gap"/>
    <c:showDLblsOverMax val="1"/>
  </c:chart>
  <c:spPr>
    <a:solidFill>
      <a:srgbClr val="FFFFFF"/>
    </a:solidFill>
    <a:ln w="0">
      <a:noFill/>
    </a:ln>
  </c:spPr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8EB5-D089-4DC5-9D29-228B80B1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Valentina Romare</cp:lastModifiedBy>
  <cp:revision>5</cp:revision>
  <cp:lastPrinted>2021-03-01T14:32:00Z</cp:lastPrinted>
  <dcterms:created xsi:type="dcterms:W3CDTF">2021-02-14T12:25:00Z</dcterms:created>
  <dcterms:modified xsi:type="dcterms:W3CDTF">2021-03-01T14:32:00Z</dcterms:modified>
  <dc:language>it-IT</dc:language>
</cp:coreProperties>
</file>